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Ritchie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Camp Ritche 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Ken Pinnegar</w:t>
      </w:r>
      <w:r>
        <w:rPr>
          <w:rFonts w:ascii="Arial" w:cs="Arial" w:hAnsi="Arial"/>
          <w:sz w:val="24"/>
          <w:szCs w:val="24"/>
        </w:rPr>
        <w:t xml:space="preserve"> at </w:t>
      </w:r>
      <w:r w:rsidRPr="004B1A6B">
        <w:rPr>
          <w:rFonts w:ascii="Arial" w:cs="Arial" w:hAnsi="Arial"/>
          <w:sz w:val="24"/>
          <w:szCs w:val="24"/>
          <w:highlight w:val="yellow"/>
        </w:rPr>
        <w:t>530-844-3373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Ritchie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530-844-3373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Ritchie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530-844-3373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Ritchie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530-844-3373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Ritchie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530-844-3373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Ritchie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530-844-3373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