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Blood Gulch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Jim Merryman</w:t>
      </w:r>
      <w:r>
        <w:rPr>
          <w:rFonts w:ascii="Arial" w:cs="Arial" w:hAnsi="Arial"/>
          <w:sz w:val="24"/>
          <w:szCs w:val="24"/>
        </w:rPr>
        <w:t xml:space="preserve"> at </w:t>
      </w:r>
      <w:r w:rsidRPr="004B1A6B">
        <w:rPr>
          <w:rFonts w:ascii="Arial" w:cs="Arial" w:hAnsi="Arial"/>
          <w:sz w:val="24"/>
          <w:szCs w:val="24"/>
          <w:highlight w:val="yellow"/>
        </w:rPr>
        <w:t>408-888-8810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Blood Gulch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408-888-8810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Blood Gulch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408-888-8810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Blood Gulch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408-888-8810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Blood Gulch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408-888-8810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Blood Gulch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408-888-8810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