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Meadowbrook Oaks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Saner</w:t>
      </w:r>
      <w:r>
        <w:rPr>
          <w:rFonts w:ascii="Arial" w:cs="Arial" w:hAnsi="Arial"/>
          <w:sz w:val="24"/>
          <w:szCs w:val="24"/>
        </w:rPr>
        <w:t xml:space="preserve"> at </w:t>
      </w:r>
      <w:r w:rsidRPr="004B1A6B">
        <w:rPr>
          <w:rFonts w:ascii="Arial" w:cs="Arial" w:hAnsi="Arial"/>
          <w:sz w:val="24"/>
          <w:szCs w:val="24"/>
          <w:highlight w:val="yellow"/>
        </w:rPr>
        <w:t>916-435-0103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Meadowbrook Oaks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916-435-0103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Meadowbrook Oaks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916-435-0103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Meadowbrook Oaks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916-435-0103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Meadowbrook Oaks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916-435-0103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Meadowbrook Oaks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916-435-0103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