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Moaning Cavern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Production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Stephen Fairchild</w:t>
      </w:r>
      <w:r>
        <w:rPr>
          <w:rFonts w:ascii="Arial" w:cs="Arial" w:hAnsi="Arial"/>
          <w:sz w:val="24"/>
          <w:szCs w:val="24"/>
        </w:rPr>
        <w:t xml:space="preserve"> at </w:t>
      </w:r>
      <w:r w:rsidRPr="004B1A6B">
        <w:rPr>
          <w:rFonts w:ascii="Arial" w:cs="Arial" w:hAnsi="Arial"/>
          <w:sz w:val="24"/>
          <w:szCs w:val="24"/>
          <w:highlight w:val="yellow"/>
        </w:rPr>
        <w:t>209-736-2708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Moaning Cavern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209-736-2708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Moaning Cavern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209-736-2708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Moaning Cavern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209-736-2708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Moaning Cavern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209-736-2708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Moaning Cavern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209-736-2708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