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Bruns Memorial Amphitheater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Hauled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Donna Vennemeyer</w:t>
      </w:r>
      <w:r>
        <w:rPr>
          <w:rFonts w:ascii="Arial" w:cs="Arial" w:hAnsi="Arial"/>
          <w:sz w:val="24"/>
          <w:szCs w:val="24"/>
        </w:rPr>
        <w:t xml:space="preserve"> at </w:t>
      </w:r>
      <w:r w:rsidRPr="004B1A6B">
        <w:rPr>
          <w:rFonts w:ascii="Arial" w:cs="Arial" w:hAnsi="Arial"/>
          <w:sz w:val="24"/>
          <w:szCs w:val="24"/>
          <w:highlight w:val="yellow"/>
        </w:rPr>
        <w:t>510-548-3422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Bruns Memorial Amphitheater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510-548-3422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Bruns Memorial Amphitheater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510-548-3422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Bruns Memorial Amphitheater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510-548-3422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Bruns Memorial Amphitheater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510-548-3422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Bruns Memorial Amphitheater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510-548-3422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