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Crivelli's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Lucas Brug</w:t>
      </w:r>
      <w:r>
        <w:rPr>
          <w:rFonts w:ascii="Arial" w:cs="Arial" w:hAnsi="Arial"/>
          <w:sz w:val="24"/>
          <w:szCs w:val="24"/>
        </w:rPr>
        <w:t xml:space="preserve"> at </w:t>
      </w:r>
      <w:r w:rsidRPr="004B1A6B">
        <w:rPr>
          <w:rFonts w:ascii="Arial" w:cs="Arial" w:hAnsi="Arial"/>
          <w:sz w:val="24"/>
          <w:szCs w:val="24"/>
          <w:highlight w:val="yellow"/>
        </w:rPr>
        <w:t>707-954-1189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Crivelli's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707-954-1189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Crivelli's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707-954-1189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Crivelli's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707-954-1189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Crivelli's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707-954-1189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Crivelli's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707-954-1189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