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Mother Lode River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Scott Underwood</w:t>
      </w:r>
      <w:r>
        <w:rPr>
          <w:rFonts w:ascii="Arial" w:cs="Arial" w:hAnsi="Arial"/>
          <w:sz w:val="24"/>
          <w:szCs w:val="24"/>
        </w:rPr>
        <w:t xml:space="preserve"> at </w:t>
      </w:r>
      <w:r w:rsidRPr="004B1A6B">
        <w:rPr>
          <w:rFonts w:ascii="Arial" w:cs="Arial" w:hAnsi="Arial"/>
          <w:sz w:val="24"/>
          <w:szCs w:val="24"/>
          <w:highlight w:val="yellow"/>
        </w:rPr>
        <w:t>530-626-4187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Mother Lode River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530-626-4187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Mother Lode River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530-626-4187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Mother Lode River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530-626-4187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Mother Lode River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530-626-4187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Mother Lode River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530-626-4187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