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Rubys Valley Care Home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Gisler</w:t>
      </w:r>
      <w:r>
        <w:rPr>
          <w:rFonts w:ascii="Arial" w:cs="Arial" w:hAnsi="Arial"/>
          <w:sz w:val="24"/>
          <w:szCs w:val="24"/>
        </w:rPr>
        <w:t xml:space="preserve"> at </w:t>
      </w:r>
      <w:r w:rsidRPr="004B1A6B">
        <w:rPr>
          <w:rFonts w:ascii="Arial" w:cs="Arial" w:hAnsi="Arial"/>
          <w:sz w:val="24"/>
          <w:szCs w:val="24"/>
          <w:highlight w:val="yellow"/>
        </w:rPr>
        <w:t>515-255-5489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Rubys Valley Care Home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515-255-5489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Rubys Valley Care Home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515-255-5489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Rubys Valley Care Home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515-255-5489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Rubys Valley Care Home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515-255-5489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Rubys Valley Care Home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515-255-5489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