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Trinity Presbyterian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Nathan Belknap</w:t>
      </w:r>
      <w:r>
        <w:rPr>
          <w:rFonts w:ascii="Arial" w:cs="Arial" w:hAnsi="Arial"/>
          <w:sz w:val="24"/>
          <w:szCs w:val="24"/>
        </w:rPr>
        <w:t xml:space="preserve"> at </w:t>
      </w:r>
      <w:r w:rsidRPr="004B1A6B">
        <w:rPr>
          <w:rFonts w:ascii="Arial" w:cs="Arial" w:hAnsi="Arial"/>
          <w:sz w:val="24"/>
          <w:szCs w:val="24"/>
          <w:highlight w:val="yellow"/>
        </w:rPr>
        <w:t>559-433-0584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Trinity Presbyterian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559-433-0584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Trinity Presbyterian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559-433-0584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Trinity Presbyterian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559-433-0584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Trinity Presbyterian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559-433-0584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Trinity Presbyterian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559-433-0584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