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West Tech Industrial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Sandra Staats</w:t>
      </w:r>
      <w:r>
        <w:rPr>
          <w:rFonts w:ascii="Arial" w:cs="Arial" w:hAnsi="Arial"/>
          <w:sz w:val="24"/>
          <w:szCs w:val="24"/>
        </w:rPr>
        <w:t xml:space="preserve"> at </w:t>
      </w:r>
      <w:r w:rsidRPr="004B1A6B">
        <w:rPr>
          <w:rFonts w:ascii="Arial" w:cs="Arial" w:hAnsi="Arial"/>
          <w:sz w:val="24"/>
          <w:szCs w:val="24"/>
          <w:highlight w:val="yellow"/>
        </w:rPr>
        <w:t>559-897-0349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West Tech Industrial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559-897-0349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West Tech Industrial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559-897-0349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West Tech Industrial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559-897-0349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West Tech Industrial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559-897-0349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West Tech Industrial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559-897-0349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