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Kings River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Bagdasarian</w:t>
      </w:r>
      <w:r>
        <w:rPr>
          <w:rFonts w:ascii="Arial" w:cs="Arial" w:hAnsi="Arial"/>
          <w:sz w:val="24"/>
          <w:szCs w:val="24"/>
        </w:rPr>
        <w:t xml:space="preserve"> at </w:t>
      </w:r>
      <w:r w:rsidRPr="004B1A6B">
        <w:rPr>
          <w:rFonts w:ascii="Arial" w:cs="Arial" w:hAnsi="Arial"/>
          <w:sz w:val="24"/>
          <w:szCs w:val="24"/>
          <w:highlight w:val="yellow"/>
        </w:rPr>
        <w:t>559-399-3079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Kings River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559-399-3079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Kings River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559-399-3079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Kings River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559-399-3079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Kings River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559-399-3079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Kings River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559-399-3079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