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Terra Linda Farms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California Aqueduct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Coelho</w:t>
      </w:r>
      <w:r>
        <w:rPr>
          <w:rFonts w:ascii="Arial" w:cs="Arial" w:hAnsi="Arial"/>
          <w:sz w:val="24"/>
          <w:szCs w:val="24"/>
        </w:rPr>
        <w:t xml:space="preserve"> at </w:t>
      </w:r>
      <w:r w:rsidRPr="004B1A6B">
        <w:rPr>
          <w:rFonts w:ascii="Arial" w:cs="Arial" w:hAnsi="Arial"/>
          <w:sz w:val="24"/>
          <w:szCs w:val="24"/>
          <w:highlight w:val="yellow"/>
        </w:rPr>
        <w:t>559-867-3400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Terra Linda Farms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559-867-3400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Terra Linda Farms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559-867-3400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Terra Linda Farms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559-867-3400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Terra Linda Farms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559-867-3400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Terra Linda Farms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559-867-3400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