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Delano Ii Prison For Men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Keiley</w:t>
      </w:r>
      <w:r>
        <w:rPr>
          <w:rFonts w:ascii="Arial" w:cs="Arial" w:hAnsi="Arial"/>
          <w:sz w:val="24"/>
          <w:szCs w:val="24"/>
        </w:rPr>
        <w:t xml:space="preserve"> at </w:t>
      </w:r>
      <w:r w:rsidRPr="004B1A6B">
        <w:rPr>
          <w:rFonts w:ascii="Arial" w:cs="Arial" w:hAnsi="Arial"/>
          <w:sz w:val="24"/>
          <w:szCs w:val="24"/>
          <w:highlight w:val="yellow"/>
        </w:rPr>
        <w:t>661-725-3686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Delano Ii Prison For Men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661-725-3686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Delano Ii Prison For Men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661-725-3686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Delano Ii Prison For Men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661-725-3686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Delano Ii Prison For Men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661-725-3686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Delano Ii Prison For Men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661-725-3686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