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 Poly, Pomona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Matthew Whinery</w:t>
      </w:r>
      <w:r>
        <w:rPr>
          <w:rFonts w:ascii="Arial" w:cs="Arial" w:hAnsi="Arial"/>
          <w:sz w:val="24"/>
          <w:szCs w:val="24"/>
        </w:rPr>
        <w:t xml:space="preserve"> at </w:t>
      </w:r>
      <w:r w:rsidRPr="004B1A6B">
        <w:rPr>
          <w:rFonts w:ascii="Arial" w:cs="Arial" w:hAnsi="Arial"/>
          <w:sz w:val="24"/>
          <w:szCs w:val="24"/>
          <w:highlight w:val="yellow"/>
        </w:rPr>
        <w:t>909-869-3047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 Poly, Pomona</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909-869-3047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 Poly, Pomona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909-869-3047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 Poly, Pomona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909-869-3047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 Poly, Pomona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909-869-3047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 Poly, Pomona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909-869-3047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