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Ahwahnee Quik Mart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Dilbag Gollen</w:t>
      </w:r>
      <w:r>
        <w:rPr>
          <w:rFonts w:ascii="Arial" w:cs="Arial" w:hAnsi="Arial"/>
          <w:sz w:val="24"/>
          <w:szCs w:val="24"/>
        </w:rPr>
        <w:t xml:space="preserve"> at </w:t>
      </w:r>
      <w:r w:rsidRPr="004B1A6B">
        <w:rPr>
          <w:rFonts w:ascii="Arial" w:cs="Arial" w:hAnsi="Arial"/>
          <w:sz w:val="24"/>
          <w:szCs w:val="24"/>
          <w:highlight w:val="yellow"/>
        </w:rPr>
        <w:t>559-580-9749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Ahwahnee Quik Mart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559-580-9749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Ahwahnee Quik Mart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559-580-9749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Ahwahnee Quik Mart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559-580-9749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Ahwahnee Quik Mart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559-580-9749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Ahwahnee Quik Mart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559-580-9749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