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Wasuma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Dias</w:t>
      </w:r>
      <w:r>
        <w:rPr>
          <w:rFonts w:ascii="Arial" w:cs="Arial" w:hAnsi="Arial"/>
          <w:sz w:val="24"/>
          <w:szCs w:val="24"/>
        </w:rPr>
        <w:t xml:space="preserve"> at </w:t>
      </w:r>
      <w:r w:rsidRPr="004B1A6B">
        <w:rPr>
          <w:rFonts w:ascii="Arial" w:cs="Arial" w:hAnsi="Arial"/>
          <w:sz w:val="24"/>
          <w:szCs w:val="24"/>
          <w:highlight w:val="yellow"/>
        </w:rPr>
        <w:t>559-240-7053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Wasuma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559-240-7053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Wasuma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559-240-7053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Wasuma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559-240-7053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Wasuma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559-240-7053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Wasuma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559-240-7053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