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Blackhawk Center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Brian Biglione</w:t>
      </w:r>
      <w:r>
        <w:rPr>
          <w:rFonts w:ascii="Arial" w:cs="Arial" w:hAnsi="Arial"/>
          <w:sz w:val="24"/>
          <w:szCs w:val="24"/>
        </w:rPr>
        <w:t xml:space="preserve"> at </w:t>
      </w:r>
      <w:r w:rsidRPr="004B1A6B">
        <w:rPr>
          <w:rFonts w:ascii="Arial" w:cs="Arial" w:hAnsi="Arial"/>
          <w:sz w:val="24"/>
          <w:szCs w:val="24"/>
          <w:highlight w:val="yellow"/>
        </w:rPr>
        <w:t>559-237-3188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Blackhawk Center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559-237-3188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Blackhawk Center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559-237-3188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Blackhawk Center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559-237-3188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Blackhawk Center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559-237-3188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Blackhawk Center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559-237-3188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