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Mira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Brandon Benelli</w:t>
      </w:r>
      <w:r>
        <w:rPr>
          <w:rFonts w:ascii="Arial" w:cs="Arial" w:hAnsi="Arial"/>
          <w:sz w:val="24"/>
          <w:szCs w:val="24"/>
        </w:rPr>
        <w:t xml:space="preserve"> at </w:t>
      </w:r>
      <w:r w:rsidRPr="004B1A6B">
        <w:rPr>
          <w:rFonts w:ascii="Arial" w:cs="Arial" w:hAnsi="Arial"/>
          <w:sz w:val="24"/>
          <w:szCs w:val="24"/>
          <w:highlight w:val="yellow"/>
        </w:rPr>
        <w:t>415-203-8150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Mira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415-203-8150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Mira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415-203-8150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Mira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415-203-8150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Mira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415-203-8150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Mira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415-203-8150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