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Napa River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Giovannoni</w:t>
      </w:r>
      <w:r>
        <w:rPr>
          <w:rFonts w:ascii="Arial" w:cs="Arial" w:hAnsi="Arial"/>
          <w:sz w:val="24"/>
          <w:szCs w:val="24"/>
        </w:rPr>
        <w:t xml:space="preserve"> at </w:t>
      </w:r>
      <w:r w:rsidRPr="004B1A6B">
        <w:rPr>
          <w:rFonts w:ascii="Arial" w:cs="Arial" w:hAnsi="Arial"/>
          <w:sz w:val="24"/>
          <w:szCs w:val="24"/>
          <w:highlight w:val="yellow"/>
        </w:rPr>
        <w:t>707-333-6596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Napa River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707-333-6596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Napa River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707-333-6596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Napa River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707-333-6596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Napa River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707-333-6596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Napa River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707-333-6596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