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Oakville Grade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Lpa Reported Primary Source,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Marcus Huss</w:t>
      </w:r>
      <w:r>
        <w:rPr>
          <w:rFonts w:ascii="Arial" w:cs="Arial" w:hAnsi="Arial"/>
          <w:sz w:val="24"/>
          <w:szCs w:val="24"/>
        </w:rPr>
        <w:t xml:space="preserve"> at </w:t>
      </w:r>
      <w:r w:rsidRPr="004B1A6B">
        <w:rPr>
          <w:rFonts w:ascii="Arial" w:cs="Arial" w:hAnsi="Arial"/>
          <w:sz w:val="24"/>
          <w:szCs w:val="24"/>
          <w:highlight w:val="yellow"/>
        </w:rPr>
        <w:t>707-481-6841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Oakville Grade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707-481-6841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Oakville Grade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707-481-6841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Oakville Grade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707-481-6841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Oakville Grade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707-481-6841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Oakville Grade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707-481-6841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