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Csp-bothe-napa Valley State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05,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Jordan</w:t>
      </w:r>
      <w:r>
        <w:rPr>
          <w:rFonts w:ascii="Arial" w:cs="Arial" w:hAnsi="Arial"/>
          <w:sz w:val="24"/>
          <w:szCs w:val="24"/>
        </w:rPr>
        <w:t xml:space="preserve"> at </w:t>
      </w:r>
      <w:r w:rsidRPr="004B1A6B">
        <w:rPr>
          <w:rFonts w:ascii="Arial" w:cs="Arial" w:hAnsi="Arial"/>
          <w:sz w:val="24"/>
          <w:szCs w:val="24"/>
          <w:highlight w:val="yellow"/>
        </w:rPr>
        <w:t>707-299-2171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Csp-bothe-napa Valley State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707-299-2171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Csp-bothe-napa Valley State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707-299-2171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Csp-bothe-napa Valley State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707-299-2171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Csp-bothe-napa Valley State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707-299-2171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Csp-bothe-napa Valley State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707-299-2171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