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Bountiful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Hume</w:t>
      </w:r>
      <w:r>
        <w:rPr>
          <w:rFonts w:ascii="Arial" w:cs="Arial" w:hAnsi="Arial"/>
          <w:sz w:val="24"/>
          <w:szCs w:val="24"/>
        </w:rPr>
        <w:t xml:space="preserve"> at </w:t>
      </w:r>
      <w:r w:rsidRPr="004B1A6B">
        <w:rPr>
          <w:rFonts w:ascii="Arial" w:cs="Arial" w:hAnsi="Arial"/>
          <w:sz w:val="24"/>
          <w:szCs w:val="24"/>
          <w:highlight w:val="yellow"/>
        </w:rPr>
        <w:t>530-846-5205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Bountiful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530-846-5205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Bountiful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530-846-5205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Bountiful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530-846-5205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Bountiful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530-846-5205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Bountiful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530-846-5205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