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Joint Regional Water Supply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Mwdsc Eocf No. 2 Tri-cities Jtm Treated, Mwdsc Scp Sc-5b Connection - Treated, Irwd Inerconnection To Jtm, Scwd-grf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 Serna</w:t>
      </w:r>
      <w:r>
        <w:rPr>
          <w:rFonts w:ascii="Arial" w:cs="Arial" w:hAnsi="Arial"/>
          <w:sz w:val="24"/>
          <w:szCs w:val="24"/>
        </w:rPr>
        <w:t xml:space="preserve"> at </w:t>
      </w:r>
      <w:r w:rsidRPr="004B1A6B">
        <w:rPr>
          <w:rFonts w:ascii="Arial" w:cs="Arial" w:hAnsi="Arial"/>
          <w:sz w:val="24"/>
          <w:szCs w:val="24"/>
          <w:highlight w:val="yellow"/>
        </w:rPr>
        <w:t>949-342-2179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Joint Regional Water Supply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949-342-2179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Joint Regional Water Supply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949-342-2179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Joint Regional Water Supply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949-342-2179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Joint Regional Water Supply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949-342-2179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Joint Regional Water Supply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949-342-2179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