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Orange County Wastewater Authority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Brennon Flahive</w:t>
      </w:r>
      <w:r>
        <w:rPr>
          <w:rFonts w:ascii="Arial" w:cs="Arial" w:hAnsi="Arial"/>
          <w:sz w:val="24"/>
          <w:szCs w:val="24"/>
        </w:rPr>
        <w:t xml:space="preserve"> at </w:t>
      </w:r>
      <w:r w:rsidRPr="004B1A6B">
        <w:rPr>
          <w:rFonts w:ascii="Arial" w:cs="Arial" w:hAnsi="Arial"/>
          <w:sz w:val="24"/>
          <w:szCs w:val="24"/>
          <w:highlight w:val="yellow"/>
        </w:rPr>
        <w:t>949-234-5419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Orange County Wastewater Authority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949-234-5419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Orange County Wastewater Authority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949-234-5419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Orange County Wastewater Authority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949-234-5419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Orange County Wastewater Authority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949-234-5419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Orange County Wastewater Authority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949-234-5419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