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Dutch Flat Mutual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Pcwa Canal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Mintline</w:t>
      </w:r>
      <w:r>
        <w:rPr>
          <w:rFonts w:ascii="Arial" w:cs="Arial" w:hAnsi="Arial"/>
          <w:sz w:val="24"/>
          <w:szCs w:val="24"/>
        </w:rPr>
        <w:t xml:space="preserve"> at </w:t>
      </w:r>
      <w:r w:rsidRPr="004B1A6B">
        <w:rPr>
          <w:rFonts w:ascii="Arial" w:cs="Arial" w:hAnsi="Arial"/>
          <w:sz w:val="24"/>
          <w:szCs w:val="24"/>
          <w:highlight w:val="yellow"/>
        </w:rPr>
        <w:t>530-488-0200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Dutch Flat Mutual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530-488-0200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Dutch Flat Mutual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530-488-0200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Dutch Flat Mutual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530-488-0200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Dutch Flat Mutual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530-488-0200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Dutch Flat Mutual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530-488-0200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