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Pioneer Union Bible Church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 Shaw</w:t>
      </w:r>
      <w:r>
        <w:rPr>
          <w:rFonts w:ascii="Arial" w:cs="Arial" w:hAnsi="Arial"/>
          <w:sz w:val="24"/>
          <w:szCs w:val="24"/>
        </w:rPr>
        <w:t xml:space="preserve"> at </w:t>
      </w:r>
      <w:r w:rsidRPr="004B1A6B">
        <w:rPr>
          <w:rFonts w:ascii="Arial" w:cs="Arial" w:hAnsi="Arial"/>
          <w:sz w:val="24"/>
          <w:szCs w:val="24"/>
          <w:highlight w:val="yellow"/>
        </w:rPr>
        <w:t>530-388-5575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Pioneer Union Bible Church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530-388-5575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Pioneer Union Bible Church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530-388-5575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Pioneer Union Bible Church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530-388-5575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Pioneer Union Bible Church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530-388-5575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Pioneer Union Bible Church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530-388-5575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