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 Porte Pines Country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Upper Spring 01, Upper Spring 02, Lower Spring (tank Lot Spring), Pikes Spring (purchased), Well 001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Jaeger</w:t>
      </w:r>
      <w:r>
        <w:rPr>
          <w:rFonts w:ascii="Arial" w:cs="Arial" w:hAnsi="Arial"/>
          <w:sz w:val="24"/>
          <w:szCs w:val="24"/>
        </w:rPr>
        <w:t xml:space="preserve"> at </w:t>
      </w:r>
      <w:r w:rsidRPr="004B1A6B">
        <w:rPr>
          <w:rFonts w:ascii="Arial" w:cs="Arial" w:hAnsi="Arial"/>
          <w:sz w:val="24"/>
          <w:szCs w:val="24"/>
          <w:highlight w:val="yellow"/>
        </w:rPr>
        <w:t>530-682-0807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 Porte Pines Country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530-682-0807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 Porte Pines Country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530-682-0807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 Porte Pines Country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530-682-0807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 Porte Pines Country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530-682-0807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 Porte Pines Country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530-682-0807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