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Two Rivers Sport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(installed 2012), Well 02 (installed 2014)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Lynda Boyden</w:t>
      </w:r>
      <w:r>
        <w:rPr>
          <w:rFonts w:ascii="Arial" w:cs="Arial" w:hAnsi="Arial"/>
          <w:sz w:val="24"/>
          <w:szCs w:val="24"/>
        </w:rPr>
        <w:t xml:space="preserve"> at </w:t>
      </w:r>
      <w:r w:rsidRPr="004B1A6B">
        <w:rPr>
          <w:rFonts w:ascii="Arial" w:cs="Arial" w:hAnsi="Arial"/>
          <w:sz w:val="24"/>
          <w:szCs w:val="24"/>
          <w:highlight w:val="yellow"/>
        </w:rPr>
        <w:t>415-794-3912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Two Rivers Sport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415-794-3912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Two Rivers Sport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415-794-3912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Two Rivers Sport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415-794-3912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Two Rivers Sport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415-794-3912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Two Rivers Sport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415-794-3912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