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Seco Ngs (smud)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Joseph Lovesee</w:t>
      </w:r>
      <w:r>
        <w:rPr>
          <w:rFonts w:ascii="Arial" w:cs="Arial" w:hAnsi="Arial"/>
          <w:sz w:val="24"/>
          <w:szCs w:val="24"/>
        </w:rPr>
        <w:t xml:space="preserve"> at </w:t>
      </w:r>
      <w:r w:rsidRPr="004B1A6B">
        <w:rPr>
          <w:rFonts w:ascii="Arial" w:cs="Arial" w:hAnsi="Arial"/>
          <w:sz w:val="24"/>
          <w:szCs w:val="24"/>
          <w:highlight w:val="yellow"/>
        </w:rPr>
        <w:t>916-732-7437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Seco Ngs (smud)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916-732-7437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Seco Ngs (smud)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916-732-7437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Seco Ngs (smud)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916-732-7437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Seco Ngs (smud)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916-732-7437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Seco Ngs (smud)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916-732-7437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