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Springwood Estates Mwc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Erik Ehn</w:t>
      </w:r>
      <w:r>
        <w:rPr>
          <w:rFonts w:ascii="Arial" w:cs="Arial" w:hAnsi="Arial"/>
          <w:sz w:val="24"/>
          <w:szCs w:val="24"/>
        </w:rPr>
        <w:t xml:space="preserve"> at </w:t>
      </w:r>
      <w:r w:rsidRPr="004B1A6B">
        <w:rPr>
          <w:rFonts w:ascii="Arial" w:cs="Arial" w:hAnsi="Arial"/>
          <w:sz w:val="24"/>
          <w:szCs w:val="24"/>
          <w:highlight w:val="yellow"/>
        </w:rPr>
        <w:t>559-285-6675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Springwood Estates Mwc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559-285-6675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Springwood Estates Mwc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559-285-6675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Springwood Estates Mwc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559-285-6675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Springwood Estates Mwc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559-285-6675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Springwood Estates Mwc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559-285-6675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