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Fireclay Tile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David Galaviz</w:t>
      </w:r>
      <w:r>
        <w:rPr>
          <w:rFonts w:ascii="Arial" w:cs="Arial" w:hAnsi="Arial"/>
          <w:sz w:val="24"/>
          <w:szCs w:val="24"/>
        </w:rPr>
        <w:t xml:space="preserve"> at </w:t>
      </w:r>
      <w:r w:rsidRPr="004B1A6B">
        <w:rPr>
          <w:rFonts w:ascii="Arial" w:cs="Arial" w:hAnsi="Arial"/>
          <w:sz w:val="24"/>
          <w:szCs w:val="24"/>
          <w:highlight w:val="yellow"/>
        </w:rPr>
        <w:t>415-233-7844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Fireclay Tile</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415-233-7844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Fireclay Tile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415-233-7844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Fireclay Tile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415-233-7844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Fireclay Tile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415-233-7844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Fireclay Tile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415-233-7844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