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High Adobe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Lana Rayburn</w:t>
      </w:r>
      <w:r>
        <w:rPr>
          <w:rFonts w:ascii="Arial" w:cs="Arial" w:hAnsi="Arial"/>
          <w:sz w:val="24"/>
          <w:szCs w:val="24"/>
        </w:rPr>
        <w:t xml:space="preserve"> at </w:t>
      </w:r>
      <w:r w:rsidRPr="004B1A6B">
        <w:rPr>
          <w:rFonts w:ascii="Arial" w:cs="Arial" w:hAnsi="Arial"/>
          <w:sz w:val="24"/>
          <w:szCs w:val="24"/>
          <w:highlight w:val="yellow"/>
        </w:rPr>
        <w:t>970-260-3307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High Adobe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970-260-3307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High Adobe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970-260-3307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High Adobe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970-260-3307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High Adobe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970-260-3307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High Adobe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970-260-3307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