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State Water Co - Wrightwood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Bobolink Well, Cedar Well, Orchard Well, Govt. Canyon Well 03, Heathcreek Well 04 - Raw, Buford Well 05, Heathcreek Well 07, Evergreen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Omar Tinoco</w:t>
      </w:r>
      <w:r>
        <w:rPr>
          <w:rFonts w:ascii="Arial" w:cs="Arial" w:hAnsi="Arial"/>
          <w:sz w:val="24"/>
          <w:szCs w:val="24"/>
        </w:rPr>
        <w:t xml:space="preserve"> at </w:t>
      </w:r>
      <w:r w:rsidRPr="004B1A6B">
        <w:rPr>
          <w:rFonts w:ascii="Arial" w:cs="Arial" w:hAnsi="Arial"/>
          <w:sz w:val="24"/>
          <w:szCs w:val="24"/>
          <w:highlight w:val="yellow"/>
        </w:rPr>
        <w:t>310-848-5505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State Water Co - Wrightwood</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310-848-5505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State Water Co - Wrightwood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310-848-5505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State Water Co - Wrightwood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310-848-5505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Co - Wrightwood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310-848-5505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Co - Wrightwood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310-848-5505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