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Chino Basin Desalter Auth. - Desalter 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Well 04, Well 05, Well 06, Well 07, Well 08, Well 09, Well 10, Well 11, Well 13, Well 14, Well 15, Well I-16, Well I-17, Well I-20, Well I-21, Well I-18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O'neill</w:t>
      </w:r>
      <w:r>
        <w:rPr>
          <w:rFonts w:ascii="Arial" w:cs="Arial" w:hAnsi="Arial"/>
          <w:sz w:val="24"/>
          <w:szCs w:val="24"/>
        </w:rPr>
        <w:t xml:space="preserve"> at </w:t>
      </w:r>
      <w:r w:rsidRPr="004B1A6B">
        <w:rPr>
          <w:rFonts w:ascii="Arial" w:cs="Arial" w:hAnsi="Arial"/>
          <w:sz w:val="24"/>
          <w:szCs w:val="24"/>
          <w:highlight w:val="yellow"/>
        </w:rPr>
        <w:t>909-218-3729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Chino Basin Desalter Auth. - Desalter 1</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909-218-3729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Chino Basin Desalter Auth. - Desalter 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909-218-3729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Chino Basin Desalter Auth. - Desalter 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909-218-3729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Chino Basin Desalter Auth. - Desalter 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909-218-3729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Chino Basin Desalter Auth. - Desalter 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909-218-3729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