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Rancho Santa Teresa Mw 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Well 04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Ralph Mattern</w:t>
      </w:r>
      <w:r>
        <w:rPr>
          <w:rFonts w:ascii="Arial" w:cs="Arial" w:hAnsi="Arial"/>
          <w:sz w:val="24"/>
          <w:szCs w:val="24"/>
        </w:rPr>
        <w:t xml:space="preserve"> at </w:t>
      </w:r>
      <w:r w:rsidRPr="004B1A6B">
        <w:rPr>
          <w:rFonts w:ascii="Arial" w:cs="Arial" w:hAnsi="Arial"/>
          <w:sz w:val="24"/>
          <w:szCs w:val="24"/>
          <w:highlight w:val="yellow"/>
        </w:rPr>
        <w:t>858-354-5073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Rancho Santa Teresa Mw 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858-354-5073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Rancho Santa Teresa Mw 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858-354-5073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Rancho Santa Teresa Mw 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858-354-5073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Rancho Santa Teresa Mw 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858-354-5073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Rancho Santa Teresa Mw 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858-354-5073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