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Woodbridge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Chila Properties Corp</w:t>
      </w:r>
      <w:r>
        <w:rPr>
          <w:rFonts w:ascii="Arial" w:cs="Arial" w:hAnsi="Arial"/>
          <w:sz w:val="24"/>
          <w:szCs w:val="24"/>
        </w:rPr>
        <w:t xml:space="preserve"> at </w:t>
      </w:r>
      <w:r w:rsidRPr="004B1A6B">
        <w:rPr>
          <w:rFonts w:ascii="Arial" w:cs="Arial" w:hAnsi="Arial"/>
          <w:sz w:val="24"/>
          <w:szCs w:val="24"/>
          <w:highlight w:val="yellow"/>
        </w:rPr>
        <w:t>714-240-4757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Mobile Estates</w:t>
      </w:r>
      <w:r w:rsidRPr="00D10A7C">
        <w:rPr>
          <w:rFonts w:ascii="Arial" w:cs="Arial" w:hAnsi="Arial"/>
          <w:sz w:val="24"/>
          <w:szCs w:val="24"/>
        </w:rPr>
        <w:t xml:space="preserve"> a </w:t>
      </w:r>
      <w:r w:rsidRPr="004B1A6B">
        <w:rPr>
          <w:rFonts w:ascii="Arial" w:cs="Arial" w:hAnsi="Arial"/>
          <w:sz w:val="24"/>
          <w:szCs w:val="24"/>
          <w:highlight w:val="yellow"/>
        </w:rPr>
        <w:t>714-240-4757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Woodbridge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714-240-4757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714-240-4757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714-240-4757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714-240-4757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