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Gico Management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Gikas</w:t>
      </w:r>
      <w:r>
        <w:rPr>
          <w:rFonts w:ascii="Arial" w:cs="Arial" w:hAnsi="Arial"/>
          <w:sz w:val="24"/>
          <w:szCs w:val="24"/>
        </w:rPr>
        <w:t xml:space="preserve"> at </w:t>
      </w:r>
      <w:r w:rsidRPr="004B1A6B">
        <w:rPr>
          <w:rFonts w:ascii="Arial" w:cs="Arial" w:hAnsi="Arial"/>
          <w:sz w:val="24"/>
          <w:szCs w:val="24"/>
          <w:highlight w:val="yellow"/>
        </w:rPr>
        <w:t>209-840-1482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Gico Management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209-840-1482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Gico Management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209-840-1482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Gico Management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209-840-1482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Gico Management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209-840-1482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Gico Management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209-840-1482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