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Brecon Estate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Damian Grindley</w:t>
      </w:r>
      <w:r>
        <w:rPr>
          <w:rFonts w:ascii="Arial" w:cs="Arial" w:hAnsi="Arial"/>
          <w:sz w:val="24"/>
          <w:szCs w:val="24"/>
        </w:rPr>
        <w:t xml:space="preserve"> at </w:t>
      </w:r>
      <w:r w:rsidRPr="004B1A6B">
        <w:rPr>
          <w:rFonts w:ascii="Arial" w:cs="Arial" w:hAnsi="Arial"/>
          <w:sz w:val="24"/>
          <w:szCs w:val="24"/>
          <w:highlight w:val="yellow"/>
        </w:rPr>
        <w:t>805-434-8099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Brecon Estate</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805-434-8099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Brecon Estate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805-434-8099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Brecon Estate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805-434-8099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Brecon Estate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805-434-8099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Brecon Estate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805-434-8099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