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Kennon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Sjwc Connection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Andrew Perrucci</w:t>
      </w:r>
      <w:r>
        <w:rPr>
          <w:rFonts w:ascii="Arial" w:cs="Arial" w:hAnsi="Arial"/>
          <w:sz w:val="24"/>
          <w:szCs w:val="24"/>
        </w:rPr>
        <w:t xml:space="preserve"> at </w:t>
      </w:r>
      <w:r w:rsidRPr="004B1A6B">
        <w:rPr>
          <w:rFonts w:ascii="Arial" w:cs="Arial" w:hAnsi="Arial"/>
          <w:sz w:val="24"/>
          <w:szCs w:val="24"/>
          <w:highlight w:val="yellow"/>
        </w:rPr>
        <w:t>408-513-3273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Kennon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408-513-3273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Kennon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408-513-3273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Kennon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408-513-3273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Kennon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408-513-3273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Kennon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408-513-3273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