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Roseview Heights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Sjwc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Timothy Schacher</w:t>
      </w:r>
      <w:r>
        <w:rPr>
          <w:rFonts w:ascii="Arial" w:cs="Arial" w:hAnsi="Arial"/>
          <w:sz w:val="24"/>
          <w:szCs w:val="24"/>
        </w:rPr>
        <w:t xml:space="preserve"> at </w:t>
      </w:r>
      <w:r w:rsidRPr="004B1A6B">
        <w:rPr>
          <w:rFonts w:ascii="Arial" w:cs="Arial" w:hAnsi="Arial"/>
          <w:sz w:val="24"/>
          <w:szCs w:val="24"/>
          <w:highlight w:val="yellow"/>
        </w:rPr>
        <w:t>408-259-4760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Roseview Heights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408-259-4760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Roseview Heights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408-259-4760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Roseview Heights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408-259-4760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Roseview Heights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408-259-4760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Roseview Heights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408-259-4760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