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 County Retirement Home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Samuel Apostol</w:t>
      </w:r>
      <w:r>
        <w:rPr>
          <w:rFonts w:ascii="Arial" w:cs="Arial" w:hAnsi="Arial"/>
          <w:sz w:val="24"/>
          <w:szCs w:val="24"/>
        </w:rPr>
        <w:t xml:space="preserve"> at </w:t>
      </w:r>
      <w:r w:rsidRPr="004B1A6B">
        <w:rPr>
          <w:rFonts w:ascii="Arial" w:cs="Arial" w:hAnsi="Arial"/>
          <w:sz w:val="24"/>
          <w:szCs w:val="24"/>
          <w:highlight w:val="yellow"/>
        </w:rPr>
        <w:t>408-683-0229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 County Retirement Home</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408-683-0229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 County Retirement Home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408-683-0229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 County Retirement Home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408-683-0229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 County Retirement Home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408-683-0229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 County Retirement Home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408-683-0229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