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Simonsen Laboratories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Daniel Leonardo</w:t>
      </w:r>
      <w:r>
        <w:rPr>
          <w:rFonts w:ascii="Arial" w:cs="Arial" w:hAnsi="Arial"/>
          <w:sz w:val="24"/>
          <w:szCs w:val="24"/>
        </w:rPr>
        <w:t xml:space="preserve"> at </w:t>
      </w:r>
      <w:r w:rsidRPr="004B1A6B">
        <w:rPr>
          <w:rFonts w:ascii="Arial" w:cs="Arial" w:hAnsi="Arial"/>
          <w:sz w:val="24"/>
          <w:szCs w:val="24"/>
          <w:highlight w:val="yellow"/>
        </w:rPr>
        <w:t>408-847-2002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Simonsen Laboratories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408-847-2002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Simonsen Laboratories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408-847-2002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Simonsen Laboratories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408-847-2002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Simonsen Laboratories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408-847-2002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Simonsen Laboratories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408-847-2002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