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Pg&amp;e Metcalf</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Swartz</w:t>
      </w:r>
      <w:r>
        <w:rPr>
          <w:rFonts w:ascii="Arial" w:cs="Arial" w:hAnsi="Arial"/>
          <w:sz w:val="24"/>
          <w:szCs w:val="24"/>
        </w:rPr>
        <w:t xml:space="preserve"> at </w:t>
      </w:r>
      <w:r w:rsidRPr="004B1A6B">
        <w:rPr>
          <w:rFonts w:ascii="Arial" w:cs="Arial" w:hAnsi="Arial"/>
          <w:sz w:val="24"/>
          <w:szCs w:val="24"/>
          <w:highlight w:val="yellow"/>
        </w:rPr>
        <w:t>925-302-3034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Pg&amp;e Metcalf</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925-302-3034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Pg&amp;e Metcalf</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925-302-3034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Pg&amp;e Metcalf</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925-302-3034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Pg&amp;e Metcalf</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925-302-3034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Pg&amp;e Metcalf</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925-302-3034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