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 Town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Hunter Lien</w:t>
      </w:r>
      <w:r>
        <w:rPr>
          <w:rFonts w:ascii="Arial" w:cs="Arial" w:hAnsi="Arial"/>
          <w:sz w:val="24"/>
          <w:szCs w:val="24"/>
        </w:rPr>
        <w:t xml:space="preserve"> at </w:t>
      </w:r>
      <w:r w:rsidRPr="004B1A6B">
        <w:rPr>
          <w:rFonts w:ascii="Arial" w:cs="Arial" w:hAnsi="Arial"/>
          <w:sz w:val="24"/>
          <w:szCs w:val="24"/>
          <w:highlight w:val="yellow"/>
        </w:rPr>
        <w:t>206-370-9484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 Town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206-370-9484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 Town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206-370-9484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 Town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206-370-9484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 Town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206-370-9484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 Town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206-370-9484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