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David Bruce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Cody Ewers</w:t>
      </w:r>
      <w:r>
        <w:rPr>
          <w:rFonts w:ascii="Arial" w:cs="Arial" w:hAnsi="Arial"/>
          <w:sz w:val="24"/>
          <w:szCs w:val="24"/>
        </w:rPr>
        <w:t xml:space="preserve"> at </w:t>
      </w:r>
      <w:r w:rsidRPr="004B1A6B">
        <w:rPr>
          <w:rFonts w:ascii="Arial" w:cs="Arial" w:hAnsi="Arial"/>
          <w:sz w:val="24"/>
          <w:szCs w:val="24"/>
          <w:highlight w:val="yellow"/>
        </w:rPr>
        <w:t>408-354-4214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David Bruce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408-354-4214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David Bruce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408-354-4214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David Bruce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408-354-4214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David Bruce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408-354-4214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David Bruce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408-354-4214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