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 Francis Tract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Theresa Locke-paddon</w:t>
      </w:r>
      <w:r>
        <w:rPr>
          <w:rFonts w:ascii="Arial" w:cs="Arial" w:hAnsi="Arial"/>
          <w:sz w:val="24"/>
          <w:szCs w:val="24"/>
        </w:rPr>
        <w:t xml:space="preserve"> at </w:t>
      </w:r>
      <w:r w:rsidRPr="004B1A6B">
        <w:rPr>
          <w:rFonts w:ascii="Arial" w:cs="Arial" w:hAnsi="Arial"/>
          <w:sz w:val="24"/>
          <w:szCs w:val="24"/>
          <w:highlight w:val="yellow"/>
        </w:rPr>
        <w:t>831-684-0477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 Francis Tract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831-684-0477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 Francis Tract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831-684-0477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 Francis Tract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831-684-0477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 Francis Tract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831-684-0477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 Francis Tract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831-684-0477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