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Lakeshore Villa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Ken Sharp</w:t>
      </w:r>
      <w:r>
        <w:rPr>
          <w:rFonts w:ascii="Arial" w:cs="Arial" w:hAnsi="Arial"/>
          <w:sz w:val="24"/>
          <w:szCs w:val="24"/>
        </w:rPr>
        <w:t xml:space="preserve"> at </w:t>
      </w:r>
      <w:r w:rsidRPr="004B1A6B">
        <w:rPr>
          <w:rFonts w:ascii="Arial" w:cs="Arial" w:hAnsi="Arial"/>
          <w:sz w:val="24"/>
          <w:szCs w:val="24"/>
          <w:highlight w:val="yellow"/>
        </w:rPr>
        <w:t>530-774-7723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Lakeshore Villa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530-774-7723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Lakeshore Villa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530-774-7723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Lakeshore Villa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530-774-7723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Lakeshore Villa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530-774-7723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Lakeshore Villa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530-774-7723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