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Airport Commercial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Randy Mitchell</w:t>
      </w:r>
      <w:r>
        <w:rPr>
          <w:rFonts w:ascii="Arial" w:cs="Arial" w:hAnsi="Arial"/>
          <w:sz w:val="24"/>
          <w:szCs w:val="24"/>
        </w:rPr>
        <w:t xml:space="preserve"> at </w:t>
      </w:r>
      <w:r w:rsidRPr="004B1A6B">
        <w:rPr>
          <w:rFonts w:ascii="Arial" w:cs="Arial" w:hAnsi="Arial"/>
          <w:sz w:val="24"/>
          <w:szCs w:val="24"/>
          <w:highlight w:val="yellow"/>
        </w:rPr>
        <w:t>530-356-3196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Airport Commercial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530-356-3196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Airport Commercial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530-356-3196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Airport Commercial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530-356-3196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Airport Commercial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530-356-3196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Airport Commercial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530-356-3196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