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Juniper Village Farm Labor Housing</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No.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Matthew Adamec</w:t>
      </w:r>
      <w:r>
        <w:rPr>
          <w:rFonts w:ascii="Arial" w:cs="Arial" w:hAnsi="Arial"/>
          <w:sz w:val="24"/>
          <w:szCs w:val="24"/>
        </w:rPr>
        <w:t xml:space="preserve"> at </w:t>
      </w:r>
      <w:r w:rsidRPr="004B1A6B">
        <w:rPr>
          <w:rFonts w:ascii="Arial" w:cs="Arial" w:hAnsi="Arial"/>
          <w:sz w:val="24"/>
          <w:szCs w:val="24"/>
          <w:highlight w:val="yellow"/>
        </w:rPr>
        <w:t>530-398-4042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Juniper Village Farm Labor Housing</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530-398-4042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Juniper Village Farm Labor Housing</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530-398-4042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Juniper Village Farm Labor Housing</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530-398-4042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Juniper Village Farm Labor Housing</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530-398-4042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Juniper Village Farm Labor Housing</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530-398-4042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