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Rockwell Collins Inc. (fka Upco-utas)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Ruth Leblanc</w:t>
      </w:r>
      <w:r>
        <w:rPr>
          <w:rFonts w:ascii="Arial" w:cs="Arial" w:hAnsi="Arial"/>
          <w:sz w:val="24"/>
          <w:szCs w:val="24"/>
        </w:rPr>
        <w:t xml:space="preserve"> at </w:t>
      </w:r>
      <w:r w:rsidRPr="004B1A6B">
        <w:rPr>
          <w:rFonts w:ascii="Arial" w:cs="Arial" w:hAnsi="Arial"/>
          <w:sz w:val="24"/>
          <w:szCs w:val="24"/>
          <w:highlight w:val="yellow"/>
        </w:rPr>
        <w:t>707-422-1880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Rockwell Collins Inc. (fka Upco-utas)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707-422-1880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Rockwell Collins Inc. (fka Upco-utas)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707-422-1880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Rockwell Collins Inc. (fka Upco-utas)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707-422-1880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Rockwell Collins Inc. (fka Upco-utas)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707-422-1880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Rockwell Collins Inc. (fka Upco-utas)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707-422-1880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